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D646" w14:textId="0646F386" w:rsidR="00925DB7" w:rsidRDefault="00925DB7"/>
    <w:p w14:paraId="6AF90723" w14:textId="6E93B10A" w:rsidR="00B6611F" w:rsidRDefault="00B6611F"/>
    <w:p w14:paraId="32FBB90E" w14:textId="7DF721A1" w:rsidR="00B6611F" w:rsidRDefault="00B6611F"/>
    <w:p w14:paraId="7115204A" w14:textId="77777777" w:rsidR="00B6611F" w:rsidRPr="00B6611F" w:rsidRDefault="00B6611F" w:rsidP="00B6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</w:pPr>
      <w:r w:rsidRPr="00B6611F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Pr="00B6611F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  <w:t>ΠΙΝΑΚΑΣ ΣΥΜΜΟΡΦΩΣΗΣ</w:t>
      </w:r>
    </w:p>
    <w:p w14:paraId="528499F0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5648FF86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Ο Προσφέρων υποχρεούται, </w:t>
      </w:r>
      <w:r w:rsidRPr="00B6611F">
        <w:rPr>
          <w:rFonts w:ascii="Calibri" w:eastAsia="Times New Roman" w:hAnsi="Calibri" w:cs="Calibri"/>
          <w:b/>
          <w:bCs/>
          <w:color w:val="000000"/>
          <w:u w:val="single"/>
          <w:lang w:val="el-GR" w:eastAsia="el-GR"/>
        </w:rPr>
        <w:t>επί ποινή απόρριψης</w:t>
      </w:r>
      <w:r w:rsidRPr="00B6611F">
        <w:rPr>
          <w:rFonts w:ascii="Calibri" w:eastAsia="Times New Roman" w:hAnsi="Calibri" w:cs="Calibri"/>
          <w:b/>
          <w:bCs/>
          <w:color w:val="000000"/>
          <w:lang w:val="el-GR" w:eastAsia="el-GR"/>
        </w:rPr>
        <w:t>,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στον φάκελο «Τεχνική Προσφορά» να υποβάλει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υπογεγραμμένο </w:t>
      </w:r>
      <w:r w:rsidRPr="00B6611F">
        <w:rPr>
          <w:rFonts w:ascii="Calibri" w:eastAsia="Calibri" w:hAnsi="Calibri" w:cs="Calibri"/>
          <w:color w:val="000000"/>
          <w:lang w:val="el-GR"/>
        </w:rPr>
        <w:t>Φύλλο Συμμόρφωσης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497FA081" w14:textId="3444CA62" w:rsidR="00B6611F" w:rsidRPr="00CB7F82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val="el-GR" w:eastAsia="el-GR"/>
        </w:rPr>
      </w:pPr>
      <w:r w:rsidRPr="00B6611F">
        <w:rPr>
          <w:rFonts w:ascii="Tahoma" w:eastAsia="Tahoma" w:hAnsi="Tahoma" w:cs="Tahoma"/>
          <w:b/>
          <w:bCs/>
          <w:color w:val="FF0000"/>
          <w:sz w:val="18"/>
          <w:szCs w:val="18"/>
          <w:lang w:val="el-GR" w:eastAsia="el-GR"/>
        </w:rPr>
        <w:t xml:space="preserve"> </w:t>
      </w:r>
      <w:r w:rsidR="002406FB" w:rsidRPr="00CB7F82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ιατροτεχνολογικών προϊόντων ταχέων ελέγχων αντιγόνων </w:t>
      </w:r>
      <w:r w:rsidR="002406FB" w:rsidRPr="00CB7F82">
        <w:rPr>
          <w:rFonts w:ascii="Calibri" w:eastAsia="Times New Roman" w:hAnsi="Calibri" w:cs="Calibri"/>
          <w:b/>
          <w:bCs/>
          <w:iCs/>
          <w:lang w:eastAsia="ar-SA"/>
        </w:rPr>
        <w:t>SARS</w:t>
      </w:r>
      <w:r w:rsidR="002406FB" w:rsidRPr="00CB7F82">
        <w:rPr>
          <w:rFonts w:ascii="Calibri" w:eastAsia="Times New Roman" w:hAnsi="Calibri" w:cs="Calibri"/>
          <w:b/>
          <w:bCs/>
          <w:iCs/>
          <w:lang w:val="el-GR" w:eastAsia="ar-SA"/>
        </w:rPr>
        <w:t>-</w:t>
      </w:r>
      <w:r w:rsidR="002406FB" w:rsidRPr="00CB7F82">
        <w:rPr>
          <w:rFonts w:ascii="Calibri" w:eastAsia="Times New Roman" w:hAnsi="Calibri" w:cs="Calibri"/>
          <w:b/>
          <w:bCs/>
          <w:iCs/>
          <w:lang w:eastAsia="ar-SA"/>
        </w:rPr>
        <w:t>CoV</w:t>
      </w:r>
      <w:r w:rsidR="002406FB" w:rsidRPr="00CB7F82">
        <w:rPr>
          <w:rFonts w:ascii="Calibri" w:eastAsia="Times New Roman" w:hAnsi="Calibri" w:cs="Calibri"/>
          <w:b/>
          <w:bCs/>
          <w:iCs/>
          <w:lang w:val="el-GR" w:eastAsia="ar-SA"/>
        </w:rPr>
        <w:t>-2(</w:t>
      </w:r>
      <w:r w:rsidR="002406FB" w:rsidRPr="00CB7F82">
        <w:rPr>
          <w:rFonts w:ascii="Calibri" w:eastAsia="Times New Roman" w:hAnsi="Calibri" w:cs="Calibri"/>
          <w:b/>
          <w:bCs/>
          <w:iCs/>
          <w:lang w:eastAsia="ar-SA"/>
        </w:rPr>
        <w:t>rapid</w:t>
      </w:r>
      <w:r w:rsidR="002406FB" w:rsidRPr="00CB7F82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 </w:t>
      </w:r>
      <w:r w:rsidR="002406FB" w:rsidRPr="00CB7F82">
        <w:rPr>
          <w:rFonts w:ascii="Calibri" w:eastAsia="Times New Roman" w:hAnsi="Calibri" w:cs="Calibri"/>
          <w:b/>
          <w:bCs/>
          <w:iCs/>
          <w:lang w:eastAsia="ar-SA"/>
        </w:rPr>
        <w:t>test</w:t>
      </w:r>
      <w:r w:rsidR="002406FB" w:rsidRPr="00CB7F82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) </w:t>
      </w:r>
      <w:r w:rsidRPr="00CB7F82">
        <w:rPr>
          <w:rFonts w:ascii="Calibri" w:eastAsia="Times New Roman" w:hAnsi="Calibri" w:cs="Calibri"/>
          <w:b/>
          <w:bCs/>
          <w:iCs/>
          <w:lang w:eastAsia="el-GR"/>
        </w:rPr>
        <w:t>CPV</w:t>
      </w:r>
      <w:r w:rsidRPr="00CB7F82">
        <w:rPr>
          <w:rFonts w:ascii="Calibri" w:eastAsia="Times New Roman" w:hAnsi="Calibri" w:cs="Calibri"/>
          <w:b/>
          <w:bCs/>
          <w:iCs/>
          <w:lang w:val="el-GR" w:eastAsia="el-GR"/>
        </w:rPr>
        <w:t xml:space="preserve"> 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el-GR"/>
        </w:rPr>
        <w:t>33124</w:t>
      </w:r>
      <w:r w:rsidR="009A46B2">
        <w:rPr>
          <w:rFonts w:ascii="Calibri" w:eastAsia="Times New Roman" w:hAnsi="Calibri" w:cs="Calibri"/>
          <w:b/>
          <w:bCs/>
          <w:iCs/>
          <w:lang w:val="el-GR" w:eastAsia="el-GR"/>
        </w:rPr>
        <w:t>1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el-GR"/>
        </w:rPr>
        <w:t xml:space="preserve">30-5 </w:t>
      </w:r>
      <w:r w:rsidR="002406FB" w:rsidRPr="00CB7F82">
        <w:rPr>
          <w:rFonts w:ascii="Calibri" w:eastAsia="Times New Roman" w:hAnsi="Calibri" w:cs="Calibri"/>
          <w:b/>
          <w:bCs/>
          <w:iCs/>
          <w:lang w:val="el-GR" w:eastAsia="el-GR"/>
        </w:rPr>
        <w:t xml:space="preserve">και </w:t>
      </w:r>
      <w:r w:rsidR="002406FB" w:rsidRPr="002406FB">
        <w:rPr>
          <w:rFonts w:ascii="Calibri" w:eastAsia="Times New Roman" w:hAnsi="Calibri" w:cs="Calibri"/>
          <w:b/>
          <w:bCs/>
          <w:iCs/>
          <w:lang w:val="el-GR" w:eastAsia="ar-SA"/>
        </w:rPr>
        <w:t>Μάσκες προστασίας αναπνοής F</w:t>
      </w:r>
      <w:r w:rsidR="002406FB" w:rsidRPr="002406FB">
        <w:rPr>
          <w:rFonts w:ascii="Calibri" w:eastAsia="Times New Roman" w:hAnsi="Calibri" w:cs="Calibri"/>
          <w:b/>
          <w:bCs/>
          <w:iCs/>
          <w:lang w:eastAsia="ar-SA"/>
        </w:rPr>
        <w:t>F</w:t>
      </w:r>
      <w:r w:rsidR="002406FB" w:rsidRPr="002406FB">
        <w:rPr>
          <w:rFonts w:ascii="Calibri" w:eastAsia="Times New Roman" w:hAnsi="Calibri" w:cs="Calibri"/>
          <w:b/>
          <w:bCs/>
          <w:iCs/>
          <w:lang w:val="el-GR" w:eastAsia="ar-SA"/>
        </w:rPr>
        <w:t>P2 χωρίς βαλβίδα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 </w:t>
      </w:r>
      <w:r w:rsidR="00CB7F82">
        <w:rPr>
          <w:rFonts w:ascii="Calibri" w:eastAsia="Times New Roman" w:hAnsi="Calibri" w:cs="Calibri"/>
          <w:b/>
          <w:bCs/>
          <w:iCs/>
          <w:lang w:eastAsia="ar-SA"/>
        </w:rPr>
        <w:t>me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 </w:t>
      </w:r>
      <w:r w:rsidR="00CB7F82">
        <w:rPr>
          <w:rFonts w:ascii="Calibri" w:eastAsia="Times New Roman" w:hAnsi="Calibri" w:cs="Calibri"/>
          <w:b/>
          <w:bCs/>
          <w:iCs/>
          <w:lang w:eastAsia="ar-SA"/>
        </w:rPr>
        <w:t>CPV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ar-SA"/>
        </w:rPr>
        <w:t>:33157</w:t>
      </w:r>
      <w:r w:rsidR="009A46B2">
        <w:rPr>
          <w:rFonts w:ascii="Calibri" w:eastAsia="Times New Roman" w:hAnsi="Calibri" w:cs="Calibri"/>
          <w:b/>
          <w:bCs/>
          <w:iCs/>
          <w:lang w:val="el-GR" w:eastAsia="ar-SA"/>
        </w:rPr>
        <w:t>1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ar-SA"/>
        </w:rPr>
        <w:t>00-6</w:t>
      </w:r>
    </w:p>
    <w:p w14:paraId="403D53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BAAB97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2F98A3C1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«</w:t>
      </w:r>
      <w:r w:rsidRPr="00B6611F">
        <w:rPr>
          <w:rFonts w:ascii="Calibri" w:eastAsia="Calibri" w:hAnsi="Calibri" w:cs="Calibri"/>
          <w:b/>
          <w:color w:val="000000"/>
          <w:lang w:val="el-GR"/>
        </w:rPr>
        <w:t>Παράγραφοι Τεχνικών Προδιαγραφών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»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0DCEE115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549D9E6C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Σε όποια παράγραφο της Στήλης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«Υποχρεωτική Απαίτηση»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3DD36D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730E40EF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«Απάντηση Υποψηφίου»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σημειώνεται η απάντηση του προσφέροντος με τη μορφή ΝΑΙ/ΟΧΙ, εάν η αντίστοιχη προδιαγραφή πληρούται ή όχι από τον Ανάδοχο.</w:t>
      </w:r>
    </w:p>
    <w:p w14:paraId="04DE08A3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</w:p>
    <w:p w14:paraId="3196C2E7" w14:textId="316C706D" w:rsidR="00B6611F" w:rsidRPr="00B6611F" w:rsidRDefault="00B6611F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szCs w:val="24"/>
          <w:lang w:val="el-GR" w:eastAsia="zh-CN"/>
        </w:rPr>
      </w:pPr>
      <w:r w:rsidRPr="00B6611F">
        <w:rPr>
          <w:rFonts w:ascii="Calibri" w:eastAsia="Calibri" w:hAnsi="Calibri" w:cs="Times New Roman"/>
          <w:color w:val="000000"/>
          <w:lang w:val="el-GR"/>
        </w:rPr>
        <w:t xml:space="preserve">Στη στήλη 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«Παραπομπές</w:t>
      </w:r>
      <w:r w:rsidRPr="00B6611F">
        <w:rPr>
          <w:rFonts w:ascii="Calibri" w:eastAsia="Calibri" w:hAnsi="Calibri" w:cs="Calibri"/>
          <w:b/>
          <w:color w:val="000000"/>
          <w:sz w:val="20"/>
          <w:szCs w:val="20"/>
          <w:lang w:val="el-GR" w:eastAsia="zh-CN"/>
        </w:rPr>
        <w:t xml:space="preserve"> στην </w:t>
      </w:r>
      <w:r w:rsidRPr="00B6611F">
        <w:rPr>
          <w:rFonts w:ascii="Calibri" w:eastAsia="Times New Roman" w:hAnsi="Calibri" w:cs="Calibri"/>
          <w:b/>
          <w:color w:val="000000"/>
          <w:sz w:val="20"/>
          <w:szCs w:val="20"/>
          <w:lang w:val="el-GR" w:eastAsia="zh-CN"/>
        </w:rPr>
        <w:t>Τεχνική Περιγραφή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θα καταγραφεί από τον </w:t>
      </w:r>
      <w:r w:rsidRPr="00B6611F">
        <w:rPr>
          <w:rFonts w:ascii="Calibri" w:eastAsia="Times New Roman" w:hAnsi="Calibri" w:cs="Calibri"/>
          <w:color w:val="000000"/>
          <w:lang w:val="el-GR"/>
        </w:rPr>
        <w:t>προσφέροντα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η </w:t>
      </w:r>
      <w:r w:rsidRPr="00B6611F">
        <w:rPr>
          <w:rFonts w:ascii="Calibri" w:eastAsia="Calibri" w:hAnsi="Calibri" w:cs="Times New Roman"/>
          <w:color w:val="000000"/>
          <w:u w:val="single"/>
          <w:lang w:val="el-GR"/>
        </w:rPr>
        <w:t xml:space="preserve">σαφής παραπομπή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σε συγκεκριμένες σελίδες και παραγράφους ή πίνακες της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>Τεχνικής Περιγραφής»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όπου ανευρίσκεται η αντίστοιχη αναλυτική περιγραφή και τεκμηρίωση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 στη δε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 xml:space="preserve">Τεχνικής Περιγραφής»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tbl>
      <w:tblPr>
        <w:tblStyle w:val="5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5812"/>
        <w:gridCol w:w="709"/>
        <w:gridCol w:w="850"/>
        <w:gridCol w:w="1843"/>
        <w:gridCol w:w="709"/>
      </w:tblGrid>
      <w:tr w:rsidR="00B6611F" w:rsidRPr="00B6611F" w14:paraId="7C33FCD9" w14:textId="77777777" w:rsidTr="009F6949">
        <w:trPr>
          <w:cantSplit/>
          <w:trHeight w:val="478"/>
        </w:trPr>
        <w:tc>
          <w:tcPr>
            <w:tcW w:w="6947" w:type="dxa"/>
            <w:gridSpan w:val="3"/>
            <w:shd w:val="clear" w:color="auto" w:fill="9CC2E5"/>
            <w:noWrap/>
          </w:tcPr>
          <w:p w14:paraId="399F59D3" w14:textId="1B8794FB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ΠΡΟΔΙΑΓΡΑΦΕΣ</w:t>
            </w:r>
          </w:p>
        </w:tc>
        <w:tc>
          <w:tcPr>
            <w:tcW w:w="3402" w:type="dxa"/>
            <w:gridSpan w:val="3"/>
            <w:tcBorders>
              <w:left w:val="nil"/>
              <w:right w:val="nil"/>
            </w:tcBorders>
            <w:shd w:val="clear" w:color="auto" w:fill="9CC2E5"/>
            <w:noWrap/>
          </w:tcPr>
          <w:p w14:paraId="200F0B5F" w14:textId="3B6B1615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B6611F" w:rsidRPr="00B6611F" w14:paraId="01110FD5" w14:textId="77777777" w:rsidTr="009F6949">
        <w:trPr>
          <w:cantSplit/>
          <w:trHeight w:val="1500"/>
        </w:trPr>
        <w:tc>
          <w:tcPr>
            <w:tcW w:w="426" w:type="dxa"/>
            <w:shd w:val="clear" w:color="auto" w:fill="9CC2E5"/>
            <w:noWrap/>
            <w:textDirection w:val="btLr"/>
          </w:tcPr>
          <w:p w14:paraId="21CDEC36" w14:textId="68926595" w:rsidR="00B6611F" w:rsidRPr="00B6611F" w:rsidRDefault="00B6611F" w:rsidP="002406FB">
            <w:pPr>
              <w:ind w:left="113" w:right="113"/>
              <w:jc w:val="center"/>
            </w:pPr>
            <w:r w:rsidRPr="00B6611F">
              <w:t>Α/Α</w:t>
            </w:r>
          </w:p>
        </w:tc>
        <w:tc>
          <w:tcPr>
            <w:tcW w:w="5812" w:type="dxa"/>
            <w:shd w:val="clear" w:color="auto" w:fill="9CC2E5"/>
          </w:tcPr>
          <w:p w14:paraId="534FE2B7" w14:textId="3027788B" w:rsidR="00B6611F" w:rsidRPr="009F6949" w:rsidRDefault="00B6611F" w:rsidP="009F6949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73EB9D32" w14:textId="7548322D" w:rsidR="00B6611F" w:rsidRPr="009F6949" w:rsidRDefault="00B6611F" w:rsidP="009F6949">
            <w:pPr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709" w:type="dxa"/>
            <w:shd w:val="clear" w:color="auto" w:fill="9CC2E5"/>
            <w:noWrap/>
            <w:textDirection w:val="btLr"/>
          </w:tcPr>
          <w:p w14:paraId="30FA6F3E" w14:textId="4481A6DA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ΑΠΑΙΤΗΣΗ</w:t>
            </w:r>
          </w:p>
        </w:tc>
        <w:tc>
          <w:tcPr>
            <w:tcW w:w="850" w:type="dxa"/>
            <w:shd w:val="clear" w:color="auto" w:fill="9CC2E5"/>
            <w:noWrap/>
            <w:textDirection w:val="btLr"/>
          </w:tcPr>
          <w:p w14:paraId="128A5C8B" w14:textId="38F46650" w:rsidR="00B6611F" w:rsidRPr="009F6949" w:rsidRDefault="00B6611F" w:rsidP="009F6949">
            <w:pPr>
              <w:ind w:left="113" w:right="113"/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ΑΠΑΝΤΗΣΗ</w:t>
            </w:r>
          </w:p>
        </w:tc>
        <w:tc>
          <w:tcPr>
            <w:tcW w:w="2552" w:type="dxa"/>
            <w:gridSpan w:val="2"/>
            <w:shd w:val="clear" w:color="auto" w:fill="9CC2E5"/>
            <w:noWrap/>
          </w:tcPr>
          <w:p w14:paraId="1305CF07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60E3E95A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4796D909" w14:textId="227C092C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B6611F" w:rsidRPr="00B6611F" w14:paraId="53F43862" w14:textId="77777777" w:rsidTr="009F6949">
        <w:trPr>
          <w:cantSplit/>
          <w:trHeight w:val="1500"/>
        </w:trPr>
        <w:tc>
          <w:tcPr>
            <w:tcW w:w="426" w:type="dxa"/>
            <w:noWrap/>
            <w:hideMark/>
          </w:tcPr>
          <w:p w14:paraId="5F20AB4A" w14:textId="77777777" w:rsidR="00B6611F" w:rsidRPr="00B6611F" w:rsidRDefault="00B6611F" w:rsidP="00B6611F">
            <w:pPr>
              <w:rPr>
                <w:b/>
                <w:bCs/>
                <w:sz w:val="24"/>
                <w:szCs w:val="24"/>
              </w:rPr>
            </w:pPr>
            <w:r w:rsidRPr="00B6611F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</w:tcPr>
          <w:p w14:paraId="02CCBA4D" w14:textId="77777777" w:rsidR="00B6611F" w:rsidRPr="00B6611F" w:rsidRDefault="00B6611F" w:rsidP="00B6611F">
            <w:pPr>
              <w:jc w:val="both"/>
              <w:rPr>
                <w:b/>
                <w:bCs/>
                <w:sz w:val="20"/>
                <w:szCs w:val="20"/>
                <w:u w:val="single"/>
                <w:lang w:val="el-GR"/>
              </w:rPr>
            </w:pPr>
            <w:r w:rsidRPr="00B6611F">
              <w:rPr>
                <w:b/>
                <w:bCs/>
                <w:sz w:val="20"/>
                <w:szCs w:val="20"/>
                <w:u w:val="single"/>
                <w:lang w:val="el-GR"/>
              </w:rPr>
              <w:t xml:space="preserve">Αναγκαία χαρακτηριστικά διαγνωστικής επάρκειας των ιατροτεχνολογικών προϊόντων ταχέων ελέγχων αντιγόνων </w:t>
            </w:r>
            <w:r w:rsidRPr="00B6611F">
              <w:rPr>
                <w:b/>
                <w:bCs/>
                <w:sz w:val="20"/>
                <w:szCs w:val="20"/>
                <w:u w:val="single"/>
              </w:rPr>
              <w:t>SARS</w:t>
            </w:r>
            <w:r w:rsidRPr="00B6611F">
              <w:rPr>
                <w:b/>
                <w:bCs/>
                <w:sz w:val="20"/>
                <w:szCs w:val="20"/>
                <w:u w:val="single"/>
                <w:lang w:val="el-GR"/>
              </w:rPr>
              <w:t>-</w:t>
            </w:r>
            <w:r w:rsidRPr="00B6611F">
              <w:rPr>
                <w:b/>
                <w:bCs/>
                <w:sz w:val="20"/>
                <w:szCs w:val="20"/>
                <w:u w:val="single"/>
              </w:rPr>
              <w:t>CoV</w:t>
            </w:r>
            <w:r w:rsidRPr="00B6611F">
              <w:rPr>
                <w:b/>
                <w:bCs/>
                <w:sz w:val="20"/>
                <w:szCs w:val="20"/>
                <w:u w:val="single"/>
                <w:lang w:val="el-GR"/>
              </w:rPr>
              <w:t>-2  (</w:t>
            </w:r>
            <w:r w:rsidRPr="00B6611F">
              <w:rPr>
                <w:b/>
                <w:bCs/>
                <w:sz w:val="20"/>
                <w:szCs w:val="20"/>
                <w:u w:val="single"/>
              </w:rPr>
              <w:t>rapid</w:t>
            </w:r>
            <w:r w:rsidRPr="00B6611F">
              <w:rPr>
                <w:b/>
                <w:bCs/>
                <w:sz w:val="20"/>
                <w:szCs w:val="20"/>
                <w:u w:val="single"/>
                <w:lang w:val="el-GR"/>
              </w:rPr>
              <w:t xml:space="preserve"> </w:t>
            </w:r>
            <w:r w:rsidRPr="00B6611F">
              <w:rPr>
                <w:b/>
                <w:bCs/>
                <w:sz w:val="20"/>
                <w:szCs w:val="20"/>
                <w:u w:val="single"/>
              </w:rPr>
              <w:t>test</w:t>
            </w:r>
            <w:r w:rsidRPr="00B6611F">
              <w:rPr>
                <w:b/>
                <w:bCs/>
                <w:sz w:val="20"/>
                <w:szCs w:val="20"/>
                <w:u w:val="single"/>
                <w:lang w:val="el-GR"/>
              </w:rPr>
              <w:t>):</w:t>
            </w:r>
          </w:p>
          <w:p w14:paraId="0313BF58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1. Τα ιατροτεχνολογικά προϊόντα ταχέων ελέγχων αντιγόνων </w:t>
            </w:r>
            <w:r w:rsidRPr="00B6611F">
              <w:rPr>
                <w:sz w:val="20"/>
                <w:szCs w:val="20"/>
              </w:rPr>
              <w:t>SARS</w:t>
            </w:r>
            <w:r w:rsidRPr="00B6611F">
              <w:rPr>
                <w:sz w:val="20"/>
                <w:szCs w:val="20"/>
                <w:lang w:val="el-GR"/>
              </w:rPr>
              <w:t>-</w:t>
            </w:r>
            <w:r w:rsidRPr="00B6611F">
              <w:rPr>
                <w:sz w:val="20"/>
                <w:szCs w:val="20"/>
              </w:rPr>
              <w:t>CoV</w:t>
            </w:r>
            <w:r w:rsidRPr="00B6611F">
              <w:rPr>
                <w:sz w:val="20"/>
                <w:szCs w:val="20"/>
                <w:lang w:val="el-GR"/>
              </w:rPr>
              <w:t>-2 (</w:t>
            </w:r>
            <w:r w:rsidRPr="00B6611F">
              <w:rPr>
                <w:sz w:val="20"/>
                <w:szCs w:val="20"/>
              </w:rPr>
              <w:t>rapid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test</w:t>
            </w:r>
            <w:r w:rsidRPr="00B6611F">
              <w:rPr>
                <w:sz w:val="20"/>
                <w:szCs w:val="20"/>
                <w:lang w:val="el-GR"/>
              </w:rPr>
              <w:t xml:space="preserve">),  για τη διενέργεια ελέγχων νόσησης  από τον κορονοϊό πρέπει να έχουν τα ακόλουθα ελάχιστα αναγκαία χαρακτηριστικά: </w:t>
            </w:r>
          </w:p>
          <w:p w14:paraId="27A03C42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α) να ανιχνεύουν αντιγόνο του </w:t>
            </w:r>
            <w:r w:rsidRPr="00B6611F">
              <w:rPr>
                <w:sz w:val="20"/>
                <w:szCs w:val="20"/>
              </w:rPr>
              <w:t>SARS</w:t>
            </w:r>
            <w:r w:rsidRPr="00B6611F">
              <w:rPr>
                <w:sz w:val="20"/>
                <w:szCs w:val="20"/>
                <w:lang w:val="el-GR"/>
              </w:rPr>
              <w:t>-</w:t>
            </w:r>
            <w:r w:rsidRPr="00B6611F">
              <w:rPr>
                <w:sz w:val="20"/>
                <w:szCs w:val="20"/>
              </w:rPr>
              <w:t>CoV</w:t>
            </w:r>
            <w:r w:rsidRPr="00B6611F">
              <w:rPr>
                <w:sz w:val="20"/>
                <w:szCs w:val="20"/>
                <w:lang w:val="el-GR"/>
              </w:rPr>
              <w:t>-2,</w:t>
            </w:r>
          </w:p>
          <w:p w14:paraId="49347DAC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β) να εκτελούνται σε δείγματα ρινικά, φαρυγγικά ή ρινοφαρυγγικά ή σε δείγμα σάλιου, </w:t>
            </w:r>
          </w:p>
          <w:p w14:paraId="7DC60F8A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γ) να έχουν έγκριση </w:t>
            </w:r>
            <w:r w:rsidRPr="00B6611F">
              <w:rPr>
                <w:sz w:val="20"/>
                <w:szCs w:val="20"/>
              </w:rPr>
              <w:t>CE</w:t>
            </w:r>
            <w:r w:rsidRPr="00B6611F">
              <w:rPr>
                <w:sz w:val="20"/>
                <w:szCs w:val="20"/>
                <w:lang w:val="el-GR"/>
              </w:rPr>
              <w:t>-</w:t>
            </w:r>
            <w:r w:rsidRPr="00B6611F">
              <w:rPr>
                <w:sz w:val="20"/>
                <w:szCs w:val="20"/>
              </w:rPr>
              <w:t>IVD</w:t>
            </w:r>
            <w:r w:rsidRPr="00B6611F">
              <w:rPr>
                <w:sz w:val="20"/>
                <w:szCs w:val="20"/>
                <w:lang w:val="el-GR"/>
              </w:rPr>
              <w:t xml:space="preserve">, η έγκριση </w:t>
            </w:r>
            <w:r w:rsidRPr="00B6611F">
              <w:rPr>
                <w:sz w:val="20"/>
                <w:szCs w:val="20"/>
              </w:rPr>
              <w:t>FDA</w:t>
            </w:r>
            <w:r w:rsidRPr="00B6611F">
              <w:rPr>
                <w:sz w:val="20"/>
                <w:szCs w:val="20"/>
                <w:lang w:val="el-GR"/>
              </w:rPr>
              <w:t>-</w:t>
            </w:r>
            <w:r w:rsidRPr="00B6611F">
              <w:rPr>
                <w:sz w:val="20"/>
                <w:szCs w:val="20"/>
              </w:rPr>
              <w:t>EUA</w:t>
            </w:r>
            <w:r w:rsidRPr="00B6611F">
              <w:rPr>
                <w:sz w:val="20"/>
                <w:szCs w:val="20"/>
                <w:lang w:val="el-GR"/>
              </w:rPr>
              <w:t xml:space="preserve"> είναι επιθυμητή αλλά όχι υποχρεωτική, </w:t>
            </w:r>
          </w:p>
          <w:p w14:paraId="324F1C17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δ) να βγάζουν αποτέλεσμα εντός τριάντα (30) λεπτών,</w:t>
            </w:r>
          </w:p>
          <w:p w14:paraId="1FF57B0B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ε) να είναι επιδεκτικά μακροχρόνιας φύλαξής τους ( πλέον του 1 μήνα) σε συνθήκες θερμοκρασίας δωματίου (5 με 30  βαθμοί Κελσίου),</w:t>
            </w:r>
          </w:p>
          <w:p w14:paraId="277E22EC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στ) η εκτέλεση και η ολοκλήρωση του </w:t>
            </w:r>
            <w:r w:rsidRPr="00B6611F">
              <w:rPr>
                <w:sz w:val="20"/>
                <w:szCs w:val="20"/>
              </w:rPr>
              <w:t>test</w:t>
            </w:r>
            <w:r w:rsidRPr="00B6611F">
              <w:rPr>
                <w:sz w:val="20"/>
                <w:szCs w:val="20"/>
                <w:lang w:val="el-GR"/>
              </w:rPr>
              <w:t xml:space="preserve"> να γίνεται αποκλειστικά με εξοπλισμό που διατίθεται στο </w:t>
            </w:r>
            <w:r w:rsidRPr="00B6611F">
              <w:rPr>
                <w:sz w:val="20"/>
                <w:szCs w:val="20"/>
              </w:rPr>
              <w:t>kit</w:t>
            </w:r>
            <w:r w:rsidRPr="00B6611F">
              <w:rPr>
                <w:sz w:val="20"/>
                <w:szCs w:val="20"/>
                <w:lang w:val="el-GR"/>
              </w:rPr>
              <w:t xml:space="preserve"> ώστε να μπορεί το </w:t>
            </w:r>
            <w:r w:rsidRPr="00B6611F">
              <w:rPr>
                <w:sz w:val="20"/>
                <w:szCs w:val="20"/>
              </w:rPr>
              <w:t>test</w:t>
            </w:r>
            <w:r w:rsidRPr="00B6611F">
              <w:rPr>
                <w:sz w:val="20"/>
                <w:szCs w:val="20"/>
                <w:lang w:val="el-GR"/>
              </w:rPr>
              <w:t xml:space="preserve"> να διατεθεί και να γίνεται οπτική ανάγνωση των αποτελεσμάτων χωρίς συνοδό εξοπλισμό ταυτόχρονα σε πολλαπλές περιοχές στην Ελλάδα,</w:t>
            </w:r>
          </w:p>
          <w:p w14:paraId="2D0E8DFA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ζ) να μπορούν να εκτελεσθούν συγχρόνως και ανεξάρτητα πολλαπλά δείγματα,</w:t>
            </w:r>
          </w:p>
          <w:p w14:paraId="22698C49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η) να είναι εύκολα στη χρήση τους στη λογική των </w:t>
            </w:r>
            <w:r w:rsidRPr="00B6611F">
              <w:rPr>
                <w:sz w:val="20"/>
                <w:szCs w:val="20"/>
              </w:rPr>
              <w:t>Point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of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Care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Test</w:t>
            </w:r>
            <w:r w:rsidRPr="00B6611F">
              <w:rPr>
                <w:sz w:val="20"/>
                <w:szCs w:val="20"/>
                <w:lang w:val="el-GR"/>
              </w:rPr>
              <w:t>, ώστε να μην απαιτείται προσωπικό εξειδικευμένο σε πειράματα/ εξετάσεις μοριακής βιολογίας, αλλά να μπορεί να εκτελεσθεί από υγειονομικό προσωπικό ( όπως ιατροί, νοσηλευτικό προσωπικό).</w:t>
            </w:r>
          </w:p>
          <w:p w14:paraId="4637858A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Συγκεκριμένα:</w:t>
            </w:r>
          </w:p>
          <w:p w14:paraId="5B0AE1BD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α) να μην απαιτούνται χειρισμοί για την κατανομή διαλυμάτων από πιπέτες υψηλής ακρίβειας (όγκοι μικρότεροι από 0,1</w:t>
            </w:r>
            <w:r w:rsidRPr="00B6611F">
              <w:rPr>
                <w:sz w:val="20"/>
                <w:szCs w:val="20"/>
              </w:rPr>
              <w:t>ml</w:t>
            </w:r>
            <w:r w:rsidRPr="00B6611F">
              <w:rPr>
                <w:sz w:val="20"/>
                <w:szCs w:val="20"/>
                <w:lang w:val="el-GR"/>
              </w:rPr>
              <w:t xml:space="preserve">) σε αντιδραστήρια που χρειάζονται κατά την εκτέλεση της δοκιμασίας, </w:t>
            </w:r>
          </w:p>
          <w:p w14:paraId="4B82EAFF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β) να εκτελείται με συσκευές-αναλώσιμα που είναι μιας χρήσης και πλήρως φορητές,</w:t>
            </w:r>
          </w:p>
          <w:p w14:paraId="787E2295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γ) να μην απαιτείται πλέον υλικοτεχνικός εξοπλισμός άλλος από αυτόν που θα παρέχει η εταιρεία (με εξαίρεση χρονόμετρο και μέτρα ατομικής προστασίας). Συγκεκριμένα να μην απαιτούνται θάλαμοι βιοασφάλειας 2,</w:t>
            </w:r>
          </w:p>
          <w:p w14:paraId="1A01A831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δ) να περιέχουν δείγματα θετικού και αρνητικού μάρτυρα ικανά να ελέγξουν τη διαδικασία σε όλα τα στάδια,</w:t>
            </w:r>
          </w:p>
          <w:p w14:paraId="4C9E0F3B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ε) στις ενδείξεις αποτελέσματος να υπάρχει ένδειξη εγκυρότητας της εκτέλεσης της δοκιμασίας εκτός από την ένδειξη για θετικό ή αρνητικό.</w:t>
            </w:r>
          </w:p>
          <w:p w14:paraId="66BB2372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2. Επιπρόσθετα τα ιατροτεχνολογικά προϊόντα ταχέων ελέγχων αντιγόνων </w:t>
            </w:r>
            <w:r w:rsidRPr="00B6611F">
              <w:rPr>
                <w:sz w:val="20"/>
                <w:szCs w:val="20"/>
              </w:rPr>
              <w:t>SARS</w:t>
            </w:r>
            <w:r w:rsidRPr="00B6611F">
              <w:rPr>
                <w:sz w:val="20"/>
                <w:szCs w:val="20"/>
                <w:lang w:val="el-GR"/>
              </w:rPr>
              <w:t>-</w:t>
            </w:r>
            <w:r w:rsidRPr="00B6611F">
              <w:rPr>
                <w:sz w:val="20"/>
                <w:szCs w:val="20"/>
              </w:rPr>
              <w:t>CoV</w:t>
            </w:r>
            <w:r w:rsidRPr="00B6611F">
              <w:rPr>
                <w:sz w:val="20"/>
                <w:szCs w:val="20"/>
                <w:lang w:val="el-GR"/>
              </w:rPr>
              <w:t>-2 (</w:t>
            </w:r>
            <w:r w:rsidRPr="00B6611F">
              <w:rPr>
                <w:sz w:val="20"/>
                <w:szCs w:val="20"/>
              </w:rPr>
              <w:t>rapid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test</w:t>
            </w:r>
            <w:r w:rsidRPr="00B6611F">
              <w:rPr>
                <w:sz w:val="20"/>
                <w:szCs w:val="20"/>
                <w:lang w:val="el-GR"/>
              </w:rPr>
              <w:t xml:space="preserve">),  για τη διενέργεια ελέγχων νόσησης  από τον κορονοϊό της προηγούμενης παραγράφου πρέπει να έχουν περάσει από επαρκή αξιολόγηση ευαισθησίας-ειδικότητας για </w:t>
            </w:r>
            <w:r w:rsidRPr="00B6611F">
              <w:rPr>
                <w:sz w:val="20"/>
                <w:szCs w:val="20"/>
              </w:rPr>
              <w:t>SARS</w:t>
            </w:r>
            <w:r w:rsidRPr="00B6611F">
              <w:rPr>
                <w:sz w:val="20"/>
                <w:szCs w:val="20"/>
                <w:lang w:val="el-GR"/>
              </w:rPr>
              <w:t>-</w:t>
            </w:r>
            <w:r w:rsidRPr="00B6611F">
              <w:rPr>
                <w:sz w:val="20"/>
                <w:szCs w:val="20"/>
              </w:rPr>
              <w:t>CoV</w:t>
            </w:r>
            <w:r w:rsidRPr="00B6611F">
              <w:rPr>
                <w:sz w:val="20"/>
                <w:szCs w:val="20"/>
                <w:lang w:val="el-GR"/>
              </w:rPr>
              <w:t>-2.</w:t>
            </w:r>
          </w:p>
          <w:p w14:paraId="344BC486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Ως επαρκής αξιολόγηση ορίζεται η ακόλουθη:</w:t>
            </w:r>
          </w:p>
          <w:p w14:paraId="59BF2909" w14:textId="77777777" w:rsidR="00B6611F" w:rsidRPr="00B6611F" w:rsidRDefault="00B6611F" w:rsidP="00B6611F">
            <w:pPr>
              <w:jc w:val="both"/>
              <w:rPr>
                <w:sz w:val="20"/>
                <w:szCs w:val="20"/>
              </w:rPr>
            </w:pPr>
            <w:r w:rsidRPr="00B6611F">
              <w:rPr>
                <w:sz w:val="20"/>
                <w:szCs w:val="20"/>
                <w:lang w:val="el-GR"/>
              </w:rPr>
              <w:t>α</w:t>
            </w:r>
            <w:r w:rsidRPr="00B6611F">
              <w:rPr>
                <w:sz w:val="20"/>
                <w:szCs w:val="20"/>
              </w:rPr>
              <w:t xml:space="preserve">) </w:t>
            </w:r>
            <w:r w:rsidRPr="00B6611F">
              <w:rPr>
                <w:sz w:val="20"/>
                <w:szCs w:val="20"/>
                <w:lang w:val="el-GR"/>
              </w:rPr>
              <w:t>να</w:t>
            </w:r>
            <w:r w:rsidRPr="00B6611F">
              <w:rPr>
                <w:sz w:val="20"/>
                <w:szCs w:val="20"/>
              </w:rPr>
              <w:t xml:space="preserve"> </w:t>
            </w:r>
            <w:r w:rsidRPr="00B6611F">
              <w:rPr>
                <w:sz w:val="20"/>
                <w:szCs w:val="20"/>
                <w:lang w:val="el-GR"/>
              </w:rPr>
              <w:t>συμπεριλαμβάνονται</w:t>
            </w:r>
            <w:r w:rsidRPr="00B6611F">
              <w:rPr>
                <w:sz w:val="20"/>
                <w:szCs w:val="20"/>
              </w:rPr>
              <w:t xml:space="preserve"> </w:t>
            </w:r>
            <w:r w:rsidRPr="00B6611F">
              <w:rPr>
                <w:sz w:val="20"/>
                <w:szCs w:val="20"/>
                <w:lang w:val="el-GR"/>
              </w:rPr>
              <w:t>στην</w:t>
            </w:r>
            <w:r w:rsidRPr="00B6611F">
              <w:rPr>
                <w:sz w:val="20"/>
                <w:szCs w:val="20"/>
              </w:rPr>
              <w:t xml:space="preserve"> </w:t>
            </w:r>
            <w:r w:rsidRPr="00B6611F">
              <w:rPr>
                <w:sz w:val="20"/>
                <w:szCs w:val="20"/>
                <w:lang w:val="el-GR"/>
              </w:rPr>
              <w:t>αντίστοιχη</w:t>
            </w:r>
            <w:r w:rsidRPr="00B6611F">
              <w:rPr>
                <w:sz w:val="20"/>
                <w:szCs w:val="20"/>
              </w:rPr>
              <w:t xml:space="preserve"> </w:t>
            </w:r>
            <w:r w:rsidRPr="00B6611F">
              <w:rPr>
                <w:sz w:val="20"/>
                <w:szCs w:val="20"/>
                <w:lang w:val="el-GR"/>
              </w:rPr>
              <w:t>λίστα</w:t>
            </w:r>
            <w:r w:rsidRPr="00B6611F">
              <w:rPr>
                <w:sz w:val="20"/>
                <w:szCs w:val="20"/>
              </w:rPr>
              <w:t xml:space="preserve"> </w:t>
            </w:r>
            <w:r w:rsidRPr="00B6611F">
              <w:rPr>
                <w:sz w:val="20"/>
                <w:szCs w:val="20"/>
                <w:lang w:val="el-GR"/>
              </w:rPr>
              <w:t>του</w:t>
            </w:r>
            <w:r w:rsidRPr="00B6611F">
              <w:rPr>
                <w:sz w:val="20"/>
                <w:szCs w:val="20"/>
              </w:rPr>
              <w:t xml:space="preserve"> WHO ( WHO Emergency Use Listing for Invitro diagnostics (IVDs) Detecting  SARS-CoV-2 </w:t>
            </w:r>
            <w:r w:rsidRPr="00B6611F">
              <w:rPr>
                <w:sz w:val="20"/>
                <w:szCs w:val="20"/>
                <w:lang w:val="el-GR"/>
              </w:rPr>
              <w:t>ή</w:t>
            </w:r>
            <w:r w:rsidRPr="00B6611F">
              <w:rPr>
                <w:sz w:val="20"/>
                <w:szCs w:val="20"/>
              </w:rPr>
              <w:t xml:space="preserve"> </w:t>
            </w:r>
          </w:p>
          <w:p w14:paraId="15962EBD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β) να συμπεριλαμβάνονται στη λίστα αξιολόγησης της </w:t>
            </w:r>
            <w:r w:rsidRPr="00B6611F">
              <w:rPr>
                <w:sz w:val="20"/>
                <w:szCs w:val="20"/>
              </w:rPr>
              <w:t>FIND</w:t>
            </w:r>
            <w:r w:rsidRPr="00B6611F">
              <w:rPr>
                <w:sz w:val="20"/>
                <w:szCs w:val="20"/>
                <w:lang w:val="el-GR"/>
              </w:rPr>
              <w:t xml:space="preserve"> (</w:t>
            </w:r>
            <w:hyperlink r:id="rId5" w:history="1">
              <w:r w:rsidRPr="00B6611F">
                <w:rPr>
                  <w:color w:val="0563C1"/>
                  <w:sz w:val="20"/>
                  <w:szCs w:val="20"/>
                  <w:u w:val="single"/>
                </w:rPr>
                <w:t>https</w:t>
              </w:r>
              <w:r w:rsidRPr="00B6611F">
                <w:rPr>
                  <w:color w:val="0563C1"/>
                  <w:sz w:val="20"/>
                  <w:szCs w:val="20"/>
                  <w:u w:val="single"/>
                  <w:lang w:val="el-GR"/>
                </w:rPr>
                <w:t>://</w:t>
              </w:r>
              <w:r w:rsidRPr="00B6611F">
                <w:rPr>
                  <w:color w:val="0563C1"/>
                  <w:sz w:val="20"/>
                  <w:szCs w:val="20"/>
                  <w:u w:val="single"/>
                </w:rPr>
                <w:t>www</w:t>
              </w:r>
              <w:r w:rsidRPr="00B6611F">
                <w:rPr>
                  <w:color w:val="0563C1"/>
                  <w:sz w:val="20"/>
                  <w:szCs w:val="20"/>
                  <w:u w:val="single"/>
                  <w:lang w:val="el-GR"/>
                </w:rPr>
                <w:t>.</w:t>
              </w:r>
              <w:r w:rsidRPr="00B6611F">
                <w:rPr>
                  <w:color w:val="0563C1"/>
                  <w:sz w:val="20"/>
                  <w:szCs w:val="20"/>
                  <w:u w:val="single"/>
                </w:rPr>
                <w:t>finddx</w:t>
              </w:r>
              <w:r w:rsidRPr="00B6611F">
                <w:rPr>
                  <w:color w:val="0563C1"/>
                  <w:sz w:val="20"/>
                  <w:szCs w:val="20"/>
                  <w:u w:val="single"/>
                  <w:lang w:val="el-GR"/>
                </w:rPr>
                <w:t>.</w:t>
              </w:r>
              <w:r w:rsidRPr="00B6611F">
                <w:rPr>
                  <w:color w:val="0563C1"/>
                  <w:sz w:val="20"/>
                  <w:szCs w:val="20"/>
                  <w:u w:val="single"/>
                </w:rPr>
                <w:t>org</w:t>
              </w:r>
              <w:r w:rsidRPr="00B6611F">
                <w:rPr>
                  <w:color w:val="0563C1"/>
                  <w:sz w:val="20"/>
                  <w:szCs w:val="20"/>
                  <w:u w:val="single"/>
                  <w:lang w:val="el-GR"/>
                </w:rPr>
                <w:t>/</w:t>
              </w:r>
              <w:r w:rsidRPr="00B6611F">
                <w:rPr>
                  <w:color w:val="0563C1"/>
                  <w:sz w:val="20"/>
                  <w:szCs w:val="20"/>
                  <w:u w:val="single"/>
                </w:rPr>
                <w:t>covid</w:t>
              </w:r>
              <w:r w:rsidRPr="00B6611F">
                <w:rPr>
                  <w:color w:val="0563C1"/>
                  <w:sz w:val="20"/>
                  <w:szCs w:val="20"/>
                  <w:u w:val="single"/>
                  <w:lang w:val="el-GR"/>
                </w:rPr>
                <w:t>-19-</w:t>
              </w:r>
              <w:r w:rsidRPr="00B6611F">
                <w:rPr>
                  <w:color w:val="0563C1"/>
                  <w:sz w:val="20"/>
                  <w:szCs w:val="20"/>
                  <w:u w:val="single"/>
                </w:rPr>
                <w:t>old</w:t>
              </w:r>
              <w:r w:rsidRPr="00B6611F">
                <w:rPr>
                  <w:color w:val="0563C1"/>
                  <w:sz w:val="20"/>
                  <w:szCs w:val="20"/>
                  <w:u w:val="single"/>
                  <w:lang w:val="el-GR"/>
                </w:rPr>
                <w:t>/</w:t>
              </w:r>
              <w:r w:rsidRPr="00B6611F">
                <w:rPr>
                  <w:color w:val="0563C1"/>
                  <w:sz w:val="20"/>
                  <w:szCs w:val="20"/>
                  <w:u w:val="single"/>
                </w:rPr>
                <w:t>sarscov</w:t>
              </w:r>
              <w:r w:rsidRPr="00B6611F">
                <w:rPr>
                  <w:color w:val="0563C1"/>
                  <w:sz w:val="20"/>
                  <w:szCs w:val="20"/>
                  <w:u w:val="single"/>
                  <w:lang w:val="el-GR"/>
                </w:rPr>
                <w:t>2-</w:t>
              </w:r>
              <w:r w:rsidRPr="00B6611F">
                <w:rPr>
                  <w:color w:val="0563C1"/>
                  <w:sz w:val="20"/>
                  <w:szCs w:val="20"/>
                  <w:u w:val="single"/>
                </w:rPr>
                <w:t>eval</w:t>
              </w:r>
              <w:r w:rsidRPr="00B6611F">
                <w:rPr>
                  <w:color w:val="0563C1"/>
                  <w:sz w:val="20"/>
                  <w:szCs w:val="20"/>
                  <w:u w:val="single"/>
                  <w:lang w:val="el-GR"/>
                </w:rPr>
                <w:t>-</w:t>
              </w:r>
              <w:r w:rsidRPr="00B6611F">
                <w:rPr>
                  <w:color w:val="0563C1"/>
                  <w:sz w:val="20"/>
                  <w:szCs w:val="20"/>
                  <w:u w:val="single"/>
                </w:rPr>
                <w:t>antigen</w:t>
              </w:r>
              <w:r w:rsidRPr="00B6611F">
                <w:rPr>
                  <w:color w:val="0563C1"/>
                  <w:sz w:val="20"/>
                  <w:szCs w:val="20"/>
                  <w:u w:val="single"/>
                  <w:lang w:val="el-GR"/>
                </w:rPr>
                <w:t>/</w:t>
              </w:r>
            </w:hyperlink>
            <w:r w:rsidRPr="00B6611F">
              <w:rPr>
                <w:sz w:val="20"/>
                <w:szCs w:val="20"/>
                <w:lang w:val="el-GR"/>
              </w:rPr>
              <w:t xml:space="preserve">) με διαθέσιμα αποτελέσματα αξιολόγησης ή </w:t>
            </w:r>
          </w:p>
          <w:p w14:paraId="3D8BD4CA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lastRenderedPageBreak/>
              <w:t xml:space="preserve">γ) να έχει δημοσιευθεί η αξιολόγησή τους σε περιοδικό με κριτές το οποίο καταλογογραφείται στην </w:t>
            </w:r>
            <w:r w:rsidRPr="00B6611F">
              <w:rPr>
                <w:sz w:val="20"/>
                <w:szCs w:val="20"/>
              </w:rPr>
              <w:t>PubMed</w:t>
            </w:r>
            <w:r w:rsidRPr="00B6611F">
              <w:rPr>
                <w:sz w:val="20"/>
                <w:szCs w:val="20"/>
                <w:lang w:val="el-GR"/>
              </w:rPr>
              <w:t xml:space="preserve"> και έχει </w:t>
            </w:r>
            <w:r w:rsidRPr="00B6611F">
              <w:rPr>
                <w:sz w:val="20"/>
                <w:szCs w:val="20"/>
              </w:rPr>
              <w:t>Impact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Factor</w:t>
            </w:r>
            <w:r w:rsidRPr="00B6611F">
              <w:rPr>
                <w:sz w:val="20"/>
                <w:szCs w:val="20"/>
                <w:lang w:val="el-GR"/>
              </w:rPr>
              <w:t xml:space="preserve"> από την </w:t>
            </w:r>
            <w:r w:rsidRPr="00B6611F">
              <w:rPr>
                <w:sz w:val="20"/>
                <w:szCs w:val="20"/>
              </w:rPr>
              <w:t>Clarivate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Analytics</w:t>
            </w:r>
            <w:r w:rsidRPr="00B6611F">
              <w:rPr>
                <w:sz w:val="20"/>
                <w:szCs w:val="20"/>
                <w:lang w:val="el-GR"/>
              </w:rPr>
              <w:t xml:space="preserve"> μεγαλύτερο ή ίσο από 2 (το 2019 ή το 2020) . Στη συγκεκριμένη δημοσίευση η αξιολόγηση της ευαισθησίας της δοκιμασίας για ανίχνευση </w:t>
            </w:r>
            <w:r w:rsidRPr="00B6611F">
              <w:rPr>
                <w:sz w:val="20"/>
                <w:szCs w:val="20"/>
              </w:rPr>
              <w:t>SARS</w:t>
            </w:r>
            <w:r w:rsidRPr="00B6611F">
              <w:rPr>
                <w:sz w:val="20"/>
                <w:szCs w:val="20"/>
                <w:lang w:val="el-GR"/>
              </w:rPr>
              <w:t>-</w:t>
            </w:r>
            <w:r w:rsidRPr="00B6611F">
              <w:rPr>
                <w:sz w:val="20"/>
                <w:szCs w:val="20"/>
              </w:rPr>
              <w:t>CoV</w:t>
            </w:r>
            <w:r w:rsidRPr="00B6611F">
              <w:rPr>
                <w:sz w:val="20"/>
                <w:szCs w:val="20"/>
                <w:lang w:val="el-GR"/>
              </w:rPr>
              <w:t xml:space="preserve">-2 θα πρέπει να έχει γίνει σε σύγκριση με </w:t>
            </w:r>
            <w:r w:rsidRPr="00B6611F">
              <w:rPr>
                <w:sz w:val="20"/>
                <w:szCs w:val="20"/>
              </w:rPr>
              <w:t>realtime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PCR</w:t>
            </w:r>
            <w:r w:rsidRPr="00B6611F">
              <w:rPr>
                <w:sz w:val="20"/>
                <w:szCs w:val="20"/>
                <w:lang w:val="el-GR"/>
              </w:rPr>
              <w:t xml:space="preserve"> και συγκεκριμένα με τουλάχιστον εκατό (100) δείγματα από ασθενείς τα οποία έχουν ελεγχθεί ως θετικά μέχρι και τον τριακοστό τρίτο (33</w:t>
            </w:r>
            <w:r w:rsidRPr="00B6611F">
              <w:rPr>
                <w:sz w:val="20"/>
                <w:szCs w:val="20"/>
                <w:vertAlign w:val="superscript"/>
                <w:lang w:val="el-GR"/>
              </w:rPr>
              <w:t>ο</w:t>
            </w:r>
            <w:r w:rsidRPr="00B6611F">
              <w:rPr>
                <w:sz w:val="20"/>
                <w:szCs w:val="20"/>
                <w:lang w:val="el-GR"/>
              </w:rPr>
              <w:t>) κύκλο της αντίδρασης.</w:t>
            </w:r>
          </w:p>
          <w:p w14:paraId="386F11D7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Στη δημοσίευση, η αξιολόγηση της ειδικότητας της δοκιμασίας θα πρέπει να έχει γίνει σε σύγκριση με </w:t>
            </w:r>
            <w:r w:rsidRPr="00B6611F">
              <w:rPr>
                <w:sz w:val="20"/>
                <w:szCs w:val="20"/>
              </w:rPr>
              <w:t>realtime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PCR</w:t>
            </w:r>
            <w:r w:rsidRPr="00B6611F">
              <w:rPr>
                <w:sz w:val="20"/>
                <w:szCs w:val="20"/>
                <w:lang w:val="el-GR"/>
              </w:rPr>
              <w:t xml:space="preserve"> και συγκεκριμένα σε τουλάχιστον διακόσια σαράντα (240) δείγματα από ασθενείς, τα οποία έχουν ελεγχθεί με </w:t>
            </w:r>
            <w:r w:rsidRPr="00B6611F">
              <w:rPr>
                <w:sz w:val="20"/>
                <w:szCs w:val="20"/>
              </w:rPr>
              <w:t>realtime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PCR</w:t>
            </w:r>
            <w:r w:rsidRPr="00B6611F">
              <w:rPr>
                <w:sz w:val="20"/>
                <w:szCs w:val="20"/>
                <w:lang w:val="el-GR"/>
              </w:rPr>
              <w:t xml:space="preserve"> ως αρνητικά.</w:t>
            </w:r>
          </w:p>
          <w:p w14:paraId="180C3163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3. Η ευαισθησία της δοκιμασίας για ανίχνευση </w:t>
            </w:r>
            <w:r w:rsidRPr="00B6611F">
              <w:rPr>
                <w:sz w:val="20"/>
                <w:szCs w:val="20"/>
              </w:rPr>
              <w:t>SARS</w:t>
            </w:r>
            <w:r w:rsidRPr="00B6611F">
              <w:rPr>
                <w:sz w:val="20"/>
                <w:szCs w:val="20"/>
                <w:lang w:val="el-GR"/>
              </w:rPr>
              <w:t>-</w:t>
            </w:r>
            <w:r w:rsidRPr="00B6611F">
              <w:rPr>
                <w:sz w:val="20"/>
                <w:szCs w:val="20"/>
              </w:rPr>
              <w:t>CoV</w:t>
            </w:r>
            <w:r w:rsidRPr="00B6611F">
              <w:rPr>
                <w:sz w:val="20"/>
                <w:szCs w:val="20"/>
                <w:lang w:val="el-GR"/>
              </w:rPr>
              <w:t>-2, όπως αυτή προκύπτει από την κατά τα ανωτέρω επαρκή αξιολόγηση (</w:t>
            </w:r>
            <w:r w:rsidRPr="00B6611F">
              <w:rPr>
                <w:sz w:val="20"/>
                <w:szCs w:val="20"/>
              </w:rPr>
              <w:t>WHO</w:t>
            </w:r>
            <w:r w:rsidRPr="00B6611F">
              <w:rPr>
                <w:sz w:val="20"/>
                <w:szCs w:val="20"/>
                <w:lang w:val="el-GR"/>
              </w:rPr>
              <w:t xml:space="preserve">, </w:t>
            </w:r>
            <w:r w:rsidRPr="00B6611F">
              <w:rPr>
                <w:sz w:val="20"/>
                <w:szCs w:val="20"/>
              </w:rPr>
              <w:t>FIND</w:t>
            </w:r>
            <w:r w:rsidRPr="00B6611F">
              <w:rPr>
                <w:sz w:val="20"/>
                <w:szCs w:val="20"/>
                <w:lang w:val="el-GR"/>
              </w:rPr>
              <w:t xml:space="preserve"> ή δημοσίευση σε περιοδικό με κριτές, όπως περιγράφεται παραπάνω), πρέπει να είναι ίση ή μεγαλύτερη από 85% (μέση ή διάμεση τιμή) σε δείγματα που έχουν βγει με </w:t>
            </w:r>
            <w:r w:rsidRPr="00B6611F">
              <w:rPr>
                <w:sz w:val="20"/>
                <w:szCs w:val="20"/>
              </w:rPr>
              <w:t>realtime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PCR</w:t>
            </w:r>
            <w:r w:rsidRPr="00B6611F">
              <w:rPr>
                <w:sz w:val="20"/>
                <w:szCs w:val="20"/>
                <w:lang w:val="el-GR"/>
              </w:rPr>
              <w:t xml:space="preserve"> καθώς και ότι είναι θετικά μέχρι και τον 33</w:t>
            </w:r>
            <w:r w:rsidRPr="00B6611F">
              <w:rPr>
                <w:sz w:val="20"/>
                <w:szCs w:val="20"/>
                <w:vertAlign w:val="superscript"/>
                <w:lang w:val="el-GR"/>
              </w:rPr>
              <w:t>ο</w:t>
            </w:r>
            <w:r w:rsidRPr="00B6611F">
              <w:rPr>
                <w:sz w:val="20"/>
                <w:szCs w:val="20"/>
                <w:lang w:val="el-GR"/>
              </w:rPr>
              <w:t xml:space="preserve"> κύκλο. Η ειδικότητα της δοκιμασίας για ανίχνευση </w:t>
            </w:r>
            <w:r w:rsidRPr="00B6611F">
              <w:rPr>
                <w:sz w:val="20"/>
                <w:szCs w:val="20"/>
              </w:rPr>
              <w:t>SARS</w:t>
            </w:r>
            <w:r w:rsidRPr="00B6611F">
              <w:rPr>
                <w:sz w:val="20"/>
                <w:szCs w:val="20"/>
                <w:lang w:val="el-GR"/>
              </w:rPr>
              <w:t>-</w:t>
            </w:r>
            <w:r w:rsidRPr="00B6611F">
              <w:rPr>
                <w:sz w:val="20"/>
                <w:szCs w:val="20"/>
              </w:rPr>
              <w:t>CoV</w:t>
            </w:r>
            <w:r w:rsidRPr="00B6611F">
              <w:rPr>
                <w:sz w:val="20"/>
                <w:szCs w:val="20"/>
                <w:lang w:val="el-GR"/>
              </w:rPr>
              <w:t xml:space="preserve">-2 θα πρέπει να προκύπτει από την επαρκή αξιολόγηση ως ίση ή μεγαλύτερη από 98% (μέση ή διάμεση τιμή) σε δείγματα που έχουν βγει αρνητικά με </w:t>
            </w:r>
            <w:r w:rsidRPr="00B6611F">
              <w:rPr>
                <w:sz w:val="20"/>
                <w:szCs w:val="20"/>
              </w:rPr>
              <w:t>realtime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PCR</w:t>
            </w:r>
            <w:r w:rsidRPr="00B6611F">
              <w:rPr>
                <w:sz w:val="20"/>
                <w:szCs w:val="20"/>
                <w:lang w:val="el-GR"/>
              </w:rPr>
              <w:t>.</w:t>
            </w:r>
          </w:p>
          <w:p w14:paraId="26CF52FF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4. Ειδικά στην περίπτωση που η μέθοδος δε βρίσκεται στη λίστα του </w:t>
            </w:r>
            <w:r w:rsidRPr="00B6611F">
              <w:rPr>
                <w:sz w:val="20"/>
                <w:szCs w:val="20"/>
              </w:rPr>
              <w:t>WHO</w:t>
            </w:r>
            <w:r w:rsidRPr="00B6611F">
              <w:rPr>
                <w:sz w:val="20"/>
                <w:szCs w:val="20"/>
                <w:lang w:val="el-GR"/>
              </w:rPr>
              <w:t xml:space="preserve"> ή στη λίστα της </w:t>
            </w:r>
            <w:r w:rsidRPr="00B6611F">
              <w:rPr>
                <w:sz w:val="20"/>
                <w:szCs w:val="20"/>
              </w:rPr>
              <w:t>FIND</w:t>
            </w:r>
            <w:r w:rsidRPr="00B6611F">
              <w:rPr>
                <w:sz w:val="20"/>
                <w:szCs w:val="20"/>
                <w:lang w:val="el-GR"/>
              </w:rPr>
              <w:t>, για την απόδειξη της επαρκούς αξιολόγησης της συγκεκριμένης δοκιμασίας, από τους φορείς που τη χρησιμοποιούν ή τη διαθέτουν προς διενέργεια ελέγχων φορείας κορονοϊού , απαιτούνται τα ακόλουθα αποδεικτικά έγγραφα των ελάχιστων αναγκαίων χαρακτηριστικών των δοκιμασιών:</w:t>
            </w:r>
          </w:p>
          <w:p w14:paraId="7AAFC4AB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α) πλήρες αντίγραφο της δημοσίευσης, όπως είναι δημοσιευμένη από ιατρικό περιοδικό,</w:t>
            </w:r>
          </w:p>
          <w:p w14:paraId="4418D1A0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β) διαθέσιμη προς επίδειξη περίληψη του άρθρου στην </w:t>
            </w:r>
            <w:r w:rsidRPr="00B6611F">
              <w:rPr>
                <w:sz w:val="20"/>
                <w:szCs w:val="20"/>
              </w:rPr>
              <w:t>PubMed</w:t>
            </w:r>
            <w:r w:rsidRPr="00B6611F">
              <w:rPr>
                <w:sz w:val="20"/>
                <w:szCs w:val="20"/>
                <w:lang w:val="el-GR"/>
              </w:rPr>
              <w:t xml:space="preserve"> τη στιγμή της αξιολόγησης (εκτύπωση περίληψης από ιστοσελίδα της </w:t>
            </w:r>
            <w:r w:rsidRPr="00B6611F">
              <w:rPr>
                <w:sz w:val="20"/>
                <w:szCs w:val="20"/>
              </w:rPr>
              <w:t>PubMed</w:t>
            </w:r>
            <w:r w:rsidRPr="00B6611F">
              <w:rPr>
                <w:sz w:val="20"/>
                <w:szCs w:val="20"/>
                <w:lang w:val="el-GR"/>
              </w:rPr>
              <w:t>),</w:t>
            </w:r>
          </w:p>
          <w:p w14:paraId="32004BBB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γ) διαθέσιμο προς επίδειξη αντίγραφο από το </w:t>
            </w:r>
            <w:r w:rsidRPr="00B6611F">
              <w:rPr>
                <w:sz w:val="20"/>
                <w:szCs w:val="20"/>
              </w:rPr>
              <w:t>JCR</w:t>
            </w:r>
            <w:r w:rsidRPr="00B6611F">
              <w:rPr>
                <w:sz w:val="20"/>
                <w:szCs w:val="20"/>
                <w:lang w:val="el-GR"/>
              </w:rPr>
              <w:t xml:space="preserve"> της </w:t>
            </w:r>
            <w:r w:rsidRPr="00B6611F">
              <w:rPr>
                <w:sz w:val="20"/>
                <w:szCs w:val="20"/>
              </w:rPr>
              <w:t>Clarivate</w:t>
            </w:r>
            <w:r w:rsidRPr="00B6611F">
              <w:rPr>
                <w:sz w:val="20"/>
                <w:szCs w:val="20"/>
                <w:lang w:val="el-GR"/>
              </w:rPr>
              <w:t xml:space="preserve"> που να φαίνεται το </w:t>
            </w:r>
            <w:r w:rsidRPr="00B6611F">
              <w:rPr>
                <w:sz w:val="20"/>
                <w:szCs w:val="20"/>
              </w:rPr>
              <w:t>impact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factor</w:t>
            </w:r>
            <w:r w:rsidRPr="00B6611F">
              <w:rPr>
                <w:sz w:val="20"/>
                <w:szCs w:val="20"/>
                <w:lang w:val="el-GR"/>
              </w:rPr>
              <w:t xml:space="preserve"> του περιοδικού,</w:t>
            </w:r>
          </w:p>
          <w:p w14:paraId="50660333" w14:textId="77777777" w:rsidR="00B6611F" w:rsidRPr="00B6611F" w:rsidRDefault="00B6611F" w:rsidP="00B6611F">
            <w:pPr>
              <w:jc w:val="both"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δ) υπεύθυνη δήλωση ότι στη δημοσίευση που κατατέθηκε πληρούνται τα κριτήρια ποιότητας της αξιολόγησης και συγκεκριμένα ότι η ευαισθησία έχει ελεγχθεί με τουλάχιστον 100 ανεξάρτητα δείγματα που έχουν μετρηθεί ως θετικά με </w:t>
            </w:r>
            <w:r w:rsidRPr="00B6611F">
              <w:rPr>
                <w:sz w:val="20"/>
                <w:szCs w:val="20"/>
              </w:rPr>
              <w:t>realtime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PCR</w:t>
            </w:r>
            <w:r w:rsidRPr="00B6611F">
              <w:rPr>
                <w:sz w:val="20"/>
                <w:szCs w:val="20"/>
                <w:lang w:val="el-GR"/>
              </w:rPr>
              <w:t xml:space="preserve"> μέχρι και τον 33</w:t>
            </w:r>
            <w:r w:rsidRPr="00B6611F">
              <w:rPr>
                <w:sz w:val="20"/>
                <w:szCs w:val="20"/>
                <w:vertAlign w:val="superscript"/>
                <w:lang w:val="el-GR"/>
              </w:rPr>
              <w:t>ο</w:t>
            </w:r>
            <w:r w:rsidRPr="00B6611F">
              <w:rPr>
                <w:sz w:val="20"/>
                <w:szCs w:val="20"/>
                <w:lang w:val="el-GR"/>
              </w:rPr>
              <w:t xml:space="preserve"> κύκλο, ενώ η ειδικότητα έχει ελεγχθεί με τουλάχιστον 240 ανεξάρτητα δείγματα που έχουν μετρηθεί αρνητικά με </w:t>
            </w:r>
            <w:r w:rsidRPr="00B6611F">
              <w:rPr>
                <w:sz w:val="20"/>
                <w:szCs w:val="20"/>
              </w:rPr>
              <w:t>realtime</w:t>
            </w:r>
            <w:r w:rsidRPr="00B6611F">
              <w:rPr>
                <w:sz w:val="20"/>
                <w:szCs w:val="20"/>
                <w:lang w:val="el-GR"/>
              </w:rPr>
              <w:t xml:space="preserve"> </w:t>
            </w:r>
            <w:r w:rsidRPr="00B6611F">
              <w:rPr>
                <w:sz w:val="20"/>
                <w:szCs w:val="20"/>
              </w:rPr>
              <w:t>PCR</w:t>
            </w:r>
            <w:r w:rsidRPr="00B6611F">
              <w:rPr>
                <w:sz w:val="20"/>
                <w:szCs w:val="20"/>
                <w:lang w:val="el-GR"/>
              </w:rPr>
              <w:t>.</w:t>
            </w:r>
          </w:p>
          <w:p w14:paraId="03582E12" w14:textId="77777777" w:rsidR="00B6611F" w:rsidRPr="00B6611F" w:rsidRDefault="00B6611F" w:rsidP="00B6611F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09" w:type="dxa"/>
            <w:noWrap/>
          </w:tcPr>
          <w:p w14:paraId="68EC2980" w14:textId="7A07E672" w:rsidR="00B6611F" w:rsidRPr="00B6611F" w:rsidRDefault="002406FB" w:rsidP="002406FB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lastRenderedPageBreak/>
              <w:t>ΝΑΙ</w:t>
            </w:r>
          </w:p>
        </w:tc>
        <w:tc>
          <w:tcPr>
            <w:tcW w:w="850" w:type="dxa"/>
            <w:noWrap/>
          </w:tcPr>
          <w:p w14:paraId="4700FFD9" w14:textId="77777777" w:rsidR="00B6611F" w:rsidRPr="00B6611F" w:rsidRDefault="00B6611F" w:rsidP="00B6611F">
            <w:pPr>
              <w:rPr>
                <w:lang w:val="el-GR"/>
              </w:rPr>
            </w:pPr>
          </w:p>
        </w:tc>
        <w:tc>
          <w:tcPr>
            <w:tcW w:w="1843" w:type="dxa"/>
            <w:noWrap/>
          </w:tcPr>
          <w:p w14:paraId="0C63F456" w14:textId="77777777" w:rsidR="00B6611F" w:rsidRPr="00B6611F" w:rsidRDefault="00B6611F" w:rsidP="00B6611F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71A14C2C" w14:textId="77777777" w:rsidR="00B6611F" w:rsidRPr="00B6611F" w:rsidRDefault="00B6611F" w:rsidP="00B6611F">
            <w:pPr>
              <w:ind w:left="113" w:right="113"/>
              <w:jc w:val="center"/>
              <w:rPr>
                <w:b/>
                <w:bCs/>
                <w:u w:val="single"/>
              </w:rPr>
            </w:pPr>
            <w:r w:rsidRPr="00B6611F">
              <w:rPr>
                <w:b/>
                <w:bCs/>
                <w:u w:val="single"/>
              </w:rPr>
              <w:t>ΥΠΟΧΡΕΩΤΙΚΟΣ ΔΕΙΓΜΑΤΙΣΜΟΣ</w:t>
            </w:r>
          </w:p>
        </w:tc>
      </w:tr>
      <w:tr w:rsidR="00B6611F" w:rsidRPr="00B6611F" w14:paraId="3C364703" w14:textId="77777777" w:rsidTr="009F6949">
        <w:trPr>
          <w:cantSplit/>
          <w:trHeight w:val="1500"/>
        </w:trPr>
        <w:tc>
          <w:tcPr>
            <w:tcW w:w="426" w:type="dxa"/>
            <w:noWrap/>
          </w:tcPr>
          <w:p w14:paraId="6742599B" w14:textId="094F0F3E" w:rsidR="00B6611F" w:rsidRPr="00B6611F" w:rsidRDefault="00B6611F" w:rsidP="00B6611F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lastRenderedPageBreak/>
              <w:t>2</w:t>
            </w:r>
          </w:p>
        </w:tc>
        <w:tc>
          <w:tcPr>
            <w:tcW w:w="5812" w:type="dxa"/>
          </w:tcPr>
          <w:p w14:paraId="6F211CE5" w14:textId="77777777" w:rsidR="00B6611F" w:rsidRPr="00B6611F" w:rsidRDefault="00B6611F" w:rsidP="00B6611F">
            <w:pPr>
              <w:rPr>
                <w:b/>
                <w:bCs/>
                <w:sz w:val="20"/>
                <w:szCs w:val="20"/>
                <w:u w:val="single"/>
                <w:lang w:val="el-GR"/>
              </w:rPr>
            </w:pPr>
            <w:r w:rsidRPr="00B6611F">
              <w:rPr>
                <w:b/>
                <w:bCs/>
                <w:sz w:val="20"/>
                <w:szCs w:val="20"/>
                <w:u w:val="single"/>
                <w:lang w:val="el-GR"/>
              </w:rPr>
              <w:t>Μάσκα προστασίας της αναπνοής F</w:t>
            </w:r>
            <w:r w:rsidRPr="00B6611F">
              <w:rPr>
                <w:b/>
                <w:bCs/>
                <w:sz w:val="20"/>
                <w:szCs w:val="20"/>
                <w:u w:val="single"/>
              </w:rPr>
              <w:t>F</w:t>
            </w:r>
            <w:r w:rsidRPr="00B6611F">
              <w:rPr>
                <w:b/>
                <w:bCs/>
                <w:sz w:val="20"/>
                <w:szCs w:val="20"/>
                <w:u w:val="single"/>
                <w:lang w:val="el-GR"/>
              </w:rPr>
              <w:t>P2 χωρίς βαλβίδα:</w:t>
            </w:r>
          </w:p>
          <w:p w14:paraId="645E7BD1" w14:textId="77777777" w:rsidR="00B6611F" w:rsidRPr="00B6611F" w:rsidRDefault="00B6611F" w:rsidP="00B661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Να είναι αναδιπλούμενη, προκειμένου να διασφαλίζεται η μη εισχώρηση μολυσματικών στο εσωτερικό της μάσκας. </w:t>
            </w:r>
          </w:p>
          <w:p w14:paraId="17C1003B" w14:textId="77777777" w:rsidR="00B6611F" w:rsidRPr="00B6611F" w:rsidRDefault="00B6611F" w:rsidP="00B661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Να διαθέτει καμπύλο, χαμηλό προφίλ για να παρέχει καλύτερη ορατότητα στον χρήστη και να είναι η χρήση της συμβατή και με άλλα μέσα ατομικής προστασίας (πχ γυαλιά προστασίας). </w:t>
            </w:r>
          </w:p>
          <w:p w14:paraId="6232A236" w14:textId="77777777" w:rsidR="00B6611F" w:rsidRPr="00B6611F" w:rsidRDefault="00B6611F" w:rsidP="00B661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 xml:space="preserve">Σε κάθε μάσκα να αναγράφεται το πρότυπο κατασκευής EN 149:2001, το επίπεδο προστασίας, ο κωδικός εργαστηρίου πιστοποίησης CE, ο κωδικός προϊόντος και ο κατασκευαστής. </w:t>
            </w:r>
          </w:p>
          <w:p w14:paraId="77748D7C" w14:textId="3DFD0F2D" w:rsidR="00B6611F" w:rsidRPr="00B6611F" w:rsidRDefault="00B6611F" w:rsidP="00086ECB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  <w:lang w:val="el-GR"/>
              </w:rPr>
            </w:pPr>
            <w:r w:rsidRPr="00B6611F">
              <w:rPr>
                <w:sz w:val="20"/>
                <w:szCs w:val="20"/>
                <w:lang w:val="el-GR"/>
              </w:rPr>
              <w:t>Να κατατίθενται επί ποινή απόρριψης της προσφοράς, τα πιστοποιητικά συμμόρφωσης με τα πρότυπα EN 149:2001+A1:2009.</w:t>
            </w:r>
          </w:p>
        </w:tc>
        <w:tc>
          <w:tcPr>
            <w:tcW w:w="709" w:type="dxa"/>
            <w:noWrap/>
          </w:tcPr>
          <w:p w14:paraId="4D64C9C1" w14:textId="77777777" w:rsidR="00B6611F" w:rsidRPr="009A46B2" w:rsidRDefault="00B6611F" w:rsidP="00B6611F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850" w:type="dxa"/>
            <w:noWrap/>
          </w:tcPr>
          <w:p w14:paraId="2E9CC6C2" w14:textId="77777777" w:rsidR="00B6611F" w:rsidRPr="00B6611F" w:rsidRDefault="00B6611F" w:rsidP="00B6611F">
            <w:pPr>
              <w:rPr>
                <w:lang w:val="el-GR"/>
              </w:rPr>
            </w:pPr>
          </w:p>
        </w:tc>
        <w:tc>
          <w:tcPr>
            <w:tcW w:w="1843" w:type="dxa"/>
            <w:noWrap/>
          </w:tcPr>
          <w:p w14:paraId="4F81CB8E" w14:textId="77777777" w:rsidR="00B6611F" w:rsidRPr="00B6611F" w:rsidRDefault="00B6611F" w:rsidP="00B6611F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416AE093" w14:textId="2D07E6EF" w:rsidR="00B6611F" w:rsidRPr="00B6611F" w:rsidRDefault="00517DEE" w:rsidP="00B6611F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B6611F">
              <w:rPr>
                <w:b/>
                <w:bCs/>
                <w:u w:val="single"/>
              </w:rPr>
              <w:t>ΥΠΟΧΡΕΩΤΙΚΟΣ ΔΕΙΓΜΑΤΙΣΜΟΣ</w:t>
            </w:r>
          </w:p>
        </w:tc>
      </w:tr>
    </w:tbl>
    <w:p w14:paraId="0CD20BA3" w14:textId="77777777" w:rsidR="00B6611F" w:rsidRPr="00B6611F" w:rsidRDefault="00B6611F">
      <w:pPr>
        <w:rPr>
          <w:lang w:val="el-GR"/>
        </w:rPr>
      </w:pPr>
    </w:p>
    <w:sectPr w:rsidR="00B6611F" w:rsidRPr="00B661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46FD"/>
    <w:multiLevelType w:val="hybridMultilevel"/>
    <w:tmpl w:val="45A67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1"/>
    <w:rsid w:val="00086ECB"/>
    <w:rsid w:val="00170198"/>
    <w:rsid w:val="002406FB"/>
    <w:rsid w:val="004A3BB1"/>
    <w:rsid w:val="00517DEE"/>
    <w:rsid w:val="00925DB7"/>
    <w:rsid w:val="009A46B2"/>
    <w:rsid w:val="009F6949"/>
    <w:rsid w:val="00B6611F"/>
    <w:rsid w:val="00C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9AD1"/>
  <w15:chartTrackingRefBased/>
  <w15:docId w15:val="{9F44F873-14AD-47A5-8EFE-ECB1A0A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Πλέγμα πίνακα5"/>
    <w:basedOn w:val="a1"/>
    <w:next w:val="a3"/>
    <w:uiPriority w:val="39"/>
    <w:rsid w:val="00B6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nddx.org/covid-19-old/sarscov2-eval-antig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1187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8</cp:revision>
  <dcterms:created xsi:type="dcterms:W3CDTF">2022-01-17T10:38:00Z</dcterms:created>
  <dcterms:modified xsi:type="dcterms:W3CDTF">2022-01-20T10:47:00Z</dcterms:modified>
</cp:coreProperties>
</file>